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9" w:rsidRPr="00402280" w:rsidRDefault="006113B9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</w:pPr>
      <w:r w:rsidRPr="00402280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Smlouva o zájezdu</w:t>
      </w:r>
    </w:p>
    <w:p w:rsidR="006113B9" w:rsidRDefault="006113B9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6113B9" w:rsidRPr="004F7414" w:rsidRDefault="006113B9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caps/>
          <w:color w:val="000000"/>
          <w:sz w:val="20"/>
          <w:szCs w:val="20"/>
        </w:rPr>
      </w:pPr>
      <w:r w:rsidRPr="004F7414">
        <w:rPr>
          <w:rFonts w:ascii="Times New Roman" w:eastAsia="TimesNewRomanPS-BoldMT-Identity" w:hAnsi="Times New Roman" w:cs="Times New Roman"/>
          <w:b/>
          <w:bCs/>
          <w:caps/>
          <w:color w:val="000000"/>
          <w:sz w:val="20"/>
          <w:szCs w:val="20"/>
        </w:rPr>
        <w:t>Smluvní strany</w:t>
      </w:r>
    </w:p>
    <w:p w:rsidR="006113B9" w:rsidRDefault="006113B9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6113B9" w:rsidRDefault="006113B9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CA </w:t>
      </w:r>
      <w:r w:rsidR="005D1FCB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MOTOSARDINIE</w:t>
      </w:r>
      <w:r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, Mgr. Jana Váňová, Za Kulturním domem 432, Nechanice 503 15, IČ: 73372706</w:t>
      </w:r>
    </w:p>
    <w:p w:rsidR="006113B9" w:rsidRDefault="006113B9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Tel.: 731 195 490, </w:t>
      </w:r>
      <w:hyperlink r:id="rId5" w:history="1">
        <w:r w:rsidRPr="005D00E2">
          <w:rPr>
            <w:rStyle w:val="Hypertextovodkaz"/>
            <w:rFonts w:ascii="Times New Roman" w:eastAsia="TimesNewRomanPS-BoldMT-Identity" w:hAnsi="Times New Roman" w:cs="Times New Roman"/>
            <w:bCs/>
            <w:sz w:val="20"/>
            <w:szCs w:val="20"/>
          </w:rPr>
          <w:t>motosardinie@gmail.com</w:t>
        </w:r>
      </w:hyperlink>
      <w:r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, </w:t>
      </w:r>
      <w:hyperlink r:id="rId6" w:history="1">
        <w:r w:rsidRPr="005D00E2">
          <w:rPr>
            <w:rStyle w:val="Hypertextovodkaz"/>
            <w:rFonts w:ascii="Times New Roman" w:eastAsia="TimesNewRomanPS-BoldMT-Identity" w:hAnsi="Times New Roman" w:cs="Times New Roman"/>
            <w:bCs/>
            <w:sz w:val="20"/>
            <w:szCs w:val="20"/>
          </w:rPr>
          <w:t>www.motosardinie.cz</w:t>
        </w:r>
      </w:hyperlink>
    </w:p>
    <w:p w:rsidR="006113B9" w:rsidRDefault="006113B9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(dále jen jako „</w:t>
      </w:r>
      <w:r w:rsidRPr="004F7414">
        <w:rPr>
          <w:rFonts w:ascii="Times New Roman" w:eastAsia="TimesNewRomanPS-BoldMT-Identity" w:hAnsi="Times New Roman" w:cs="Times New Roman"/>
          <w:b/>
          <w:bCs/>
          <w:color w:val="000000"/>
          <w:sz w:val="20"/>
          <w:szCs w:val="20"/>
        </w:rPr>
        <w:t>CA</w:t>
      </w:r>
      <w:r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“)</w:t>
      </w:r>
    </w:p>
    <w:p w:rsidR="006113B9" w:rsidRDefault="006113B9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a</w:t>
      </w:r>
    </w:p>
    <w:p w:rsidR="006113B9" w:rsidRPr="004F7414" w:rsidRDefault="006113B9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color w:val="000000"/>
          <w:sz w:val="20"/>
          <w:szCs w:val="20"/>
        </w:rPr>
      </w:pPr>
      <w:r w:rsidRPr="004F7414">
        <w:rPr>
          <w:rFonts w:ascii="Times New Roman" w:eastAsia="TimesNewRomanPS-BoldMT-Identity" w:hAnsi="Times New Roman" w:cs="Times New Roman"/>
          <w:b/>
          <w:bCs/>
          <w:color w:val="000000"/>
          <w:sz w:val="20"/>
          <w:szCs w:val="20"/>
        </w:rPr>
        <w:t>Zákazník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F7414" w:rsidTr="00E343AE"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 w:rsidRPr="006113B9"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Jméno, příjmení:</w:t>
            </w:r>
          </w:p>
        </w:tc>
        <w:tc>
          <w:tcPr>
            <w:tcW w:w="4606" w:type="dxa"/>
            <w:shd w:val="clear" w:color="auto" w:fill="FFFF00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7414" w:rsidTr="00E343AE"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Rodné číslo:</w:t>
            </w:r>
          </w:p>
        </w:tc>
        <w:tc>
          <w:tcPr>
            <w:tcW w:w="4606" w:type="dxa"/>
            <w:shd w:val="clear" w:color="auto" w:fill="FFFF00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7414" w:rsidTr="00E343AE"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606" w:type="dxa"/>
            <w:shd w:val="clear" w:color="auto" w:fill="FFFF00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7414" w:rsidTr="00E343AE"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 w:rsidRPr="006113B9"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Státní příslušnost</w:t>
            </w: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FFFF00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7414" w:rsidTr="00E343AE"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 w:rsidRPr="006113B9"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Mobil</w:t>
            </w: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, email:</w:t>
            </w:r>
          </w:p>
        </w:tc>
        <w:tc>
          <w:tcPr>
            <w:tcW w:w="4606" w:type="dxa"/>
            <w:shd w:val="clear" w:color="auto" w:fill="FFFF00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7414" w:rsidTr="00E343AE">
        <w:tc>
          <w:tcPr>
            <w:tcW w:w="4606" w:type="dxa"/>
          </w:tcPr>
          <w:p w:rsidR="004F7414" w:rsidRPr="006113B9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 w:rsidRPr="006113B9"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Čí</w:t>
            </w: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slo cestovního dokladu a konec jeho platnosti</w:t>
            </w:r>
          </w:p>
        </w:tc>
        <w:tc>
          <w:tcPr>
            <w:tcW w:w="4606" w:type="dxa"/>
            <w:shd w:val="clear" w:color="auto" w:fill="FFFF00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44EF" w:rsidTr="00E343AE">
        <w:tc>
          <w:tcPr>
            <w:tcW w:w="4606" w:type="dxa"/>
          </w:tcPr>
          <w:p w:rsidR="007844EF" w:rsidRPr="006113B9" w:rsidRDefault="007844EF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Značka a typ motorky:</w:t>
            </w:r>
          </w:p>
        </w:tc>
        <w:tc>
          <w:tcPr>
            <w:tcW w:w="4606" w:type="dxa"/>
            <w:shd w:val="clear" w:color="auto" w:fill="FFFF00"/>
          </w:tcPr>
          <w:p w:rsidR="007844EF" w:rsidRDefault="007844EF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44EF" w:rsidTr="00E343AE">
        <w:tc>
          <w:tcPr>
            <w:tcW w:w="4606" w:type="dxa"/>
          </w:tcPr>
          <w:p w:rsidR="007844EF" w:rsidRDefault="007844EF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SPZ motorky:</w:t>
            </w:r>
          </w:p>
        </w:tc>
        <w:tc>
          <w:tcPr>
            <w:tcW w:w="4606" w:type="dxa"/>
            <w:shd w:val="clear" w:color="auto" w:fill="FFFF00"/>
          </w:tcPr>
          <w:p w:rsidR="007844EF" w:rsidRDefault="007844EF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113B9" w:rsidRDefault="006113B9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967F61" w:rsidRPr="006113B9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 w:rsidRPr="006113B9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Spolucestující</w:t>
      </w:r>
      <w:r w:rsidR="006113B9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F7414" w:rsidTr="00E343AE"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 w:rsidRPr="006113B9"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Jméno, příjmení:</w:t>
            </w:r>
          </w:p>
        </w:tc>
        <w:tc>
          <w:tcPr>
            <w:tcW w:w="4606" w:type="dxa"/>
            <w:shd w:val="clear" w:color="auto" w:fill="FFFF00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7414" w:rsidTr="00E343AE"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Rodné číslo:</w:t>
            </w:r>
          </w:p>
        </w:tc>
        <w:tc>
          <w:tcPr>
            <w:tcW w:w="4606" w:type="dxa"/>
            <w:shd w:val="clear" w:color="auto" w:fill="FFFF00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7414" w:rsidTr="00E343AE"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606" w:type="dxa"/>
            <w:shd w:val="clear" w:color="auto" w:fill="FFFF00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7414" w:rsidTr="00E343AE"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 w:rsidRPr="006113B9"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Státní příslušnost</w:t>
            </w: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FFFF00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7414" w:rsidTr="00E343AE"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 w:rsidRPr="006113B9"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Mobil</w:t>
            </w: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, email:</w:t>
            </w:r>
          </w:p>
        </w:tc>
        <w:tc>
          <w:tcPr>
            <w:tcW w:w="4606" w:type="dxa"/>
            <w:shd w:val="clear" w:color="auto" w:fill="FFFF00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7414" w:rsidTr="00E343AE">
        <w:tc>
          <w:tcPr>
            <w:tcW w:w="4606" w:type="dxa"/>
          </w:tcPr>
          <w:p w:rsidR="004F7414" w:rsidRPr="006113B9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 w:rsidRPr="006113B9"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Čí</w:t>
            </w: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slo cestovního dokladu a konec jeho platnosti</w:t>
            </w:r>
          </w:p>
        </w:tc>
        <w:tc>
          <w:tcPr>
            <w:tcW w:w="4606" w:type="dxa"/>
            <w:shd w:val="clear" w:color="auto" w:fill="FFFF00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113B9" w:rsidRDefault="006113B9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967F61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color w:val="000000"/>
          <w:sz w:val="20"/>
          <w:szCs w:val="20"/>
        </w:rPr>
      </w:pPr>
      <w:r w:rsidRPr="004F7414">
        <w:rPr>
          <w:rFonts w:ascii="Times New Roman" w:eastAsia="TimesNewRomanPS-BoldMT-Identity" w:hAnsi="Times New Roman" w:cs="Times New Roman"/>
          <w:b/>
          <w:bCs/>
          <w:color w:val="000000"/>
          <w:sz w:val="20"/>
          <w:szCs w:val="20"/>
        </w:rPr>
        <w:t>PŘEDMĚT SMLOUVY:</w:t>
      </w:r>
    </w:p>
    <w:p w:rsidR="004F7414" w:rsidRDefault="004F7414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F7414" w:rsidTr="004F7414">
        <w:tc>
          <w:tcPr>
            <w:tcW w:w="4606" w:type="dxa"/>
          </w:tcPr>
          <w:p w:rsidR="004F7414" w:rsidRP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 w:rsidRPr="004F7414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Název zájezdu</w:t>
            </w:r>
            <w:r w:rsidR="005D1FCB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4F7414" w:rsidRP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 w:rsidRPr="004F7414"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MOTOTOUR SARDINIE 2017</w:t>
            </w:r>
          </w:p>
        </w:tc>
      </w:tr>
      <w:tr w:rsidR="004F7414" w:rsidTr="004F7414">
        <w:tc>
          <w:tcPr>
            <w:tcW w:w="4606" w:type="dxa"/>
          </w:tcPr>
          <w:p w:rsidR="004F7414" w:rsidRPr="004F7414" w:rsidRDefault="005D1FCB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T</w:t>
            </w:r>
            <w:r w:rsidR="004F7414" w:rsidRPr="004F7414"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ermín</w:t>
            </w: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414" w:rsidTr="004F7414">
        <w:tc>
          <w:tcPr>
            <w:tcW w:w="4606" w:type="dxa"/>
          </w:tcPr>
          <w:p w:rsidR="004F7414" w:rsidRP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Cena zahrnuje</w:t>
            </w:r>
            <w:r w:rsidR="005D1FCB"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4F7414" w:rsidRPr="004F7414" w:rsidRDefault="004F7414" w:rsidP="00E6392A">
            <w:pPr>
              <w:pStyle w:val="Normlnweb"/>
              <w:spacing w:before="0" w:beforeAutospacing="0" w:after="0"/>
              <w:rPr>
                <w:sz w:val="20"/>
                <w:szCs w:val="20"/>
              </w:rPr>
            </w:pPr>
            <w:r w:rsidRPr="004F7414">
              <w:rPr>
                <w:sz w:val="20"/>
                <w:szCs w:val="20"/>
              </w:rPr>
              <w:t>Převoz osoby a motorky z Čech až na Sardinii a zpět</w:t>
            </w:r>
          </w:p>
          <w:p w:rsidR="004F7414" w:rsidRPr="004F7414" w:rsidRDefault="004F7414" w:rsidP="00E6392A">
            <w:pPr>
              <w:pStyle w:val="Normlnweb"/>
              <w:spacing w:before="0" w:beforeAutospacing="0" w:after="0"/>
              <w:rPr>
                <w:sz w:val="20"/>
                <w:szCs w:val="20"/>
              </w:rPr>
            </w:pPr>
            <w:r w:rsidRPr="004F7414">
              <w:rPr>
                <w:sz w:val="20"/>
                <w:szCs w:val="20"/>
              </w:rPr>
              <w:t xml:space="preserve">Přeprava zavazadel z Čech do místa ubytování a zpět </w:t>
            </w:r>
          </w:p>
          <w:p w:rsidR="004F7414" w:rsidRPr="004F7414" w:rsidRDefault="004F7414" w:rsidP="00E6392A">
            <w:pPr>
              <w:pStyle w:val="Normlnweb"/>
              <w:spacing w:before="0" w:beforeAutospacing="0" w:after="0"/>
              <w:rPr>
                <w:sz w:val="20"/>
                <w:szCs w:val="20"/>
              </w:rPr>
            </w:pPr>
            <w:r w:rsidRPr="004F7414">
              <w:rPr>
                <w:sz w:val="20"/>
                <w:szCs w:val="20"/>
              </w:rPr>
              <w:t>Trajekt na Sardinii a zpět do Livorna v Itálii</w:t>
            </w:r>
          </w:p>
          <w:p w:rsidR="004F7414" w:rsidRPr="004F7414" w:rsidRDefault="004F7414" w:rsidP="00E6392A">
            <w:pPr>
              <w:pStyle w:val="Normlnweb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4F7414">
              <w:rPr>
                <w:sz w:val="20"/>
                <w:szCs w:val="20"/>
              </w:rPr>
              <w:t>Moto</w:t>
            </w:r>
            <w:proofErr w:type="spellEnd"/>
            <w:r w:rsidRPr="004F7414">
              <w:rPr>
                <w:sz w:val="20"/>
                <w:szCs w:val="20"/>
              </w:rPr>
              <w:t xml:space="preserve"> průvodce během </w:t>
            </w:r>
            <w:proofErr w:type="spellStart"/>
            <w:r w:rsidRPr="004F7414">
              <w:rPr>
                <w:sz w:val="20"/>
                <w:szCs w:val="20"/>
              </w:rPr>
              <w:t>tour</w:t>
            </w:r>
            <w:proofErr w:type="spellEnd"/>
          </w:p>
          <w:p w:rsidR="004F7414" w:rsidRPr="004F7414" w:rsidRDefault="004F7414" w:rsidP="00E6392A">
            <w:pPr>
              <w:pStyle w:val="Normlnweb"/>
              <w:spacing w:before="0" w:beforeAutospacing="0" w:after="0"/>
              <w:rPr>
                <w:sz w:val="20"/>
                <w:szCs w:val="20"/>
              </w:rPr>
            </w:pPr>
            <w:r w:rsidRPr="004F7414">
              <w:rPr>
                <w:sz w:val="20"/>
                <w:szCs w:val="20"/>
              </w:rPr>
              <w:t>Delegát během dovolené</w:t>
            </w:r>
          </w:p>
          <w:p w:rsidR="004F7414" w:rsidRPr="004F7414" w:rsidRDefault="004F7414" w:rsidP="00E6392A">
            <w:pPr>
              <w:pStyle w:val="Normlnweb"/>
              <w:spacing w:before="0" w:beforeAutospacing="0" w:after="0"/>
              <w:rPr>
                <w:sz w:val="20"/>
                <w:szCs w:val="20"/>
              </w:rPr>
            </w:pPr>
            <w:r w:rsidRPr="004F7414">
              <w:rPr>
                <w:sz w:val="20"/>
                <w:szCs w:val="20"/>
              </w:rPr>
              <w:t>4x ubytování ve dvoulůžkovém pokoji</w:t>
            </w:r>
          </w:p>
          <w:p w:rsidR="004F7414" w:rsidRPr="004F7414" w:rsidRDefault="004F7414" w:rsidP="00E6392A">
            <w:pPr>
              <w:pStyle w:val="Normlnweb"/>
              <w:spacing w:before="0" w:beforeAutospacing="0" w:after="0"/>
              <w:rPr>
                <w:sz w:val="20"/>
                <w:szCs w:val="20"/>
              </w:rPr>
            </w:pPr>
            <w:r w:rsidRPr="004F7414">
              <w:rPr>
                <w:sz w:val="20"/>
                <w:szCs w:val="20"/>
              </w:rPr>
              <w:t>4x snídaně v místě ubytování</w:t>
            </w:r>
          </w:p>
          <w:p w:rsidR="004F7414" w:rsidRPr="00E6392A" w:rsidRDefault="004F7414" w:rsidP="00E6392A">
            <w:pPr>
              <w:pStyle w:val="Normlnweb"/>
              <w:spacing w:before="0" w:beforeAutospacing="0" w:after="0"/>
              <w:rPr>
                <w:sz w:val="20"/>
                <w:szCs w:val="20"/>
              </w:rPr>
            </w:pPr>
            <w:r w:rsidRPr="004F7414">
              <w:rPr>
                <w:sz w:val="20"/>
                <w:szCs w:val="20"/>
              </w:rPr>
              <w:t>Pomoc v případě poruchy</w:t>
            </w:r>
          </w:p>
        </w:tc>
      </w:tr>
      <w:tr w:rsidR="005D1FCB" w:rsidTr="004F7414">
        <w:tc>
          <w:tcPr>
            <w:tcW w:w="4606" w:type="dxa"/>
          </w:tcPr>
          <w:p w:rsidR="005D1FCB" w:rsidRDefault="005D1FCB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Sleva:</w:t>
            </w:r>
          </w:p>
        </w:tc>
        <w:tc>
          <w:tcPr>
            <w:tcW w:w="4606" w:type="dxa"/>
          </w:tcPr>
          <w:p w:rsidR="005D1FCB" w:rsidRDefault="005D1FCB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1FCB" w:rsidTr="004F7414">
        <w:tc>
          <w:tcPr>
            <w:tcW w:w="4606" w:type="dxa"/>
          </w:tcPr>
          <w:p w:rsidR="005D1FCB" w:rsidRDefault="005D1FCB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Celková cena:</w:t>
            </w:r>
          </w:p>
        </w:tc>
        <w:tc>
          <w:tcPr>
            <w:tcW w:w="4606" w:type="dxa"/>
          </w:tcPr>
          <w:p w:rsidR="005D1FCB" w:rsidRDefault="005D1FCB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414" w:rsidTr="004F7414">
        <w:tc>
          <w:tcPr>
            <w:tcW w:w="4606" w:type="dxa"/>
          </w:tcPr>
          <w:p w:rsidR="004F7414" w:rsidRPr="004F7414" w:rsidRDefault="005D1FCB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Výše zálohy, d</w:t>
            </w:r>
            <w:r w:rsidRPr="006113B9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atum splatnosti:</w:t>
            </w:r>
          </w:p>
        </w:tc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414" w:rsidTr="004F7414">
        <w:tc>
          <w:tcPr>
            <w:tcW w:w="4606" w:type="dxa"/>
          </w:tcPr>
          <w:p w:rsidR="004F7414" w:rsidRPr="004F7414" w:rsidRDefault="005D1FCB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  <w:t>Výše doplatku, datum splatnosti:</w:t>
            </w:r>
          </w:p>
        </w:tc>
        <w:tc>
          <w:tcPr>
            <w:tcW w:w="4606" w:type="dxa"/>
          </w:tcPr>
          <w:p w:rsidR="004F7414" w:rsidRDefault="004F7414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1FCB" w:rsidTr="004F7414">
        <w:tc>
          <w:tcPr>
            <w:tcW w:w="4606" w:type="dxa"/>
          </w:tcPr>
          <w:p w:rsidR="005D1FCB" w:rsidRDefault="005D1FCB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5D1FCB" w:rsidRDefault="005D1FCB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D1FCB" w:rsidRDefault="005D1FCB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</w:p>
    <w:p w:rsidR="005D1FCB" w:rsidRPr="005D1FCB" w:rsidRDefault="005D1FCB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color w:val="000000"/>
          <w:sz w:val="20"/>
          <w:szCs w:val="20"/>
        </w:rPr>
      </w:pPr>
      <w:r w:rsidRPr="005D1FCB">
        <w:rPr>
          <w:rFonts w:ascii="Times New Roman" w:eastAsia="TimesNewRomanPSMT-Identity-H" w:hAnsi="Times New Roman" w:cs="Times New Roman"/>
          <w:b/>
          <w:color w:val="000000"/>
          <w:sz w:val="20"/>
          <w:szCs w:val="20"/>
        </w:rPr>
        <w:t xml:space="preserve">Zaplatit na účet </w:t>
      </w:r>
      <w:r w:rsidR="00C40125">
        <w:rPr>
          <w:rFonts w:ascii="Times New Roman" w:eastAsia="TimesNewRomanPSMT-Identity-H" w:hAnsi="Times New Roman" w:cs="Times New Roman"/>
          <w:b/>
          <w:color w:val="000000"/>
          <w:sz w:val="20"/>
          <w:szCs w:val="20"/>
        </w:rPr>
        <w:t>7311954903/5500</w:t>
      </w:r>
    </w:p>
    <w:p w:rsidR="005D1FCB" w:rsidRPr="005D1FCB" w:rsidRDefault="005D1FCB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color w:val="000000"/>
          <w:sz w:val="20"/>
          <w:szCs w:val="20"/>
        </w:rPr>
      </w:pPr>
      <w:r w:rsidRPr="005D1FCB">
        <w:rPr>
          <w:rFonts w:ascii="Times New Roman" w:eastAsia="TimesNewRomanPSMT-Identity-H" w:hAnsi="Times New Roman" w:cs="Times New Roman"/>
          <w:b/>
          <w:color w:val="000000"/>
          <w:sz w:val="20"/>
          <w:szCs w:val="20"/>
        </w:rPr>
        <w:t>Variabilní symbol = rodné číslo</w:t>
      </w:r>
    </w:p>
    <w:p w:rsidR="004F7414" w:rsidRPr="005D1FCB" w:rsidRDefault="005D1FCB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color w:val="000000"/>
          <w:sz w:val="20"/>
          <w:szCs w:val="20"/>
        </w:rPr>
      </w:pPr>
      <w:r w:rsidRPr="005D1FCB">
        <w:rPr>
          <w:rFonts w:ascii="Times New Roman" w:eastAsia="TimesNewRomanPS-BoldMT-Identity" w:hAnsi="Times New Roman" w:cs="Times New Roman"/>
          <w:b/>
          <w:bCs/>
          <w:color w:val="000000"/>
          <w:sz w:val="20"/>
          <w:szCs w:val="20"/>
        </w:rPr>
        <w:t>Poznámka: jméno a příjmení zákazníka</w:t>
      </w:r>
    </w:p>
    <w:p w:rsidR="005D1FCB" w:rsidRDefault="005D1FCB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967F61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 w:rsidRPr="006113B9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OSTATNÍ:</w:t>
      </w:r>
    </w:p>
    <w:p w:rsidR="005D1FCB" w:rsidRDefault="005D1FCB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Vzkazy pro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: (např. zdravotní omezení, 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jakékoli dodatečné informace od zákazníka)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5D1FCB" w:rsidTr="005D1FCB">
        <w:tc>
          <w:tcPr>
            <w:tcW w:w="9212" w:type="dxa"/>
          </w:tcPr>
          <w:p w:rsidR="005D1FCB" w:rsidRPr="00E343AE" w:rsidRDefault="005D1FCB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color w:val="FFFF00"/>
                <w:sz w:val="20"/>
                <w:szCs w:val="20"/>
              </w:rPr>
            </w:pPr>
          </w:p>
          <w:p w:rsidR="005D1FCB" w:rsidRPr="00E343AE" w:rsidRDefault="005D1FCB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color w:val="FFFF00"/>
                <w:sz w:val="20"/>
                <w:szCs w:val="20"/>
              </w:rPr>
            </w:pPr>
          </w:p>
          <w:p w:rsidR="005D1FCB" w:rsidRPr="00E343AE" w:rsidRDefault="005D1FCB" w:rsidP="00E6392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color w:val="FFFF00"/>
                <w:sz w:val="20"/>
                <w:szCs w:val="20"/>
              </w:rPr>
            </w:pPr>
          </w:p>
        </w:tc>
      </w:tr>
    </w:tbl>
    <w:p w:rsidR="005D1FCB" w:rsidRPr="006113B9" w:rsidRDefault="005D1FCB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</w:p>
    <w:p w:rsidR="005D1FCB" w:rsidRPr="006113B9" w:rsidRDefault="005D1FCB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967F61" w:rsidRPr="005D1FCB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color w:val="000000"/>
          <w:sz w:val="20"/>
          <w:szCs w:val="20"/>
        </w:rPr>
      </w:pPr>
      <w:r w:rsidRPr="005D1FCB">
        <w:rPr>
          <w:rFonts w:ascii="Times New Roman" w:eastAsia="TimesNewRomanPS-BoldMT-Identity" w:hAnsi="Times New Roman" w:cs="Times New Roman"/>
          <w:b/>
          <w:bCs/>
          <w:color w:val="000000"/>
          <w:sz w:val="20"/>
          <w:szCs w:val="20"/>
        </w:rPr>
        <w:t>ZÁVĚREČNÁ USTANOVENÍ:</w:t>
      </w:r>
    </w:p>
    <w:p w:rsidR="005D1FCB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 prohlašuje, že v době trvání zájezdu bude mít uzavřeno účinné cestovní pojištění léčebných výloh v zahraničí.</w:t>
      </w:r>
    </w:p>
    <w:p w:rsidR="00967F61" w:rsidRPr="006113B9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lastRenderedPageBreak/>
        <w:t>Nedílnou</w:t>
      </w:r>
      <w:r w:rsidR="005D1F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součástí této smlouvy jsou Všeobecné podmí</w:t>
      </w:r>
      <w:r w:rsidR="005D1F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nky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pro účast na zájezdech, připojené k této smlouvě, a popis podmínek zájezdu</w:t>
      </w:r>
      <w:r w:rsidR="005D1F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uvedený na</w:t>
      </w:r>
      <w:r w:rsidR="005D1F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hyperlink r:id="rId7" w:history="1">
        <w:r w:rsidR="005D1FCB" w:rsidRPr="005D00E2">
          <w:rPr>
            <w:rStyle w:val="Hypertextovodkaz"/>
            <w:rFonts w:ascii="Times New Roman" w:eastAsia="TimesNewRomanPSMT-Identity-H" w:hAnsi="Times New Roman" w:cs="Times New Roman"/>
            <w:sz w:val="20"/>
            <w:szCs w:val="20"/>
          </w:rPr>
          <w:t>www.motosardinie.cz</w:t>
        </w:r>
      </w:hyperlink>
      <w:r w:rsidR="005D1F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, nebo jiný materiá</w:t>
      </w:r>
      <w:r w:rsidR="005D1F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l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předaný zákazníkovi a obsahující úplný popis zájezdu. Zákazník podpisem této</w:t>
      </w:r>
      <w:r w:rsidR="005D1F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smlouvy stvrzuje, že se seznámil se všemi podmínkami v těchto dokumentech uvedenými a s těmito podmínkami souhlasí. Smlouva je</w:t>
      </w:r>
      <w:r w:rsidR="005D1F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uzavř</w:t>
      </w:r>
      <w:r w:rsidR="005D1F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ena dnem, kdy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potvrdí zákazníkovi zařazení do výše uvedeného zájezdu, strany si vzájemně předají (poštou, osobně či emailem)</w:t>
      </w:r>
      <w:r w:rsidR="005D1F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podepsaný návrh smlouvy a je zaplacena záloha.</w:t>
      </w:r>
    </w:p>
    <w:p w:rsidR="005D1FCB" w:rsidRDefault="005D1FCB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5D1FCB" w:rsidRPr="006113B9" w:rsidRDefault="005D1FCB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Podpisy stran následují za textem Všeobecných podmí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nek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pro účast na zájezdech.</w:t>
      </w:r>
    </w:p>
    <w:p w:rsidR="005D1FCB" w:rsidRDefault="005D1FCB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5D1FCB" w:rsidRDefault="005D1FCB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967F61" w:rsidRPr="006113B9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 w:rsidRPr="006113B9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VŠEOBECNÉ PODMÍNKY PRO ÚČAST NA ZÁJEZDECH</w:t>
      </w:r>
      <w:r w:rsidR="005D1FCB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 CA</w:t>
      </w:r>
      <w:r w:rsidR="00402280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 MOTOSARDINIE</w:t>
      </w:r>
    </w:p>
    <w:p w:rsidR="00402280" w:rsidRDefault="00402280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967F61" w:rsidRPr="007844EF" w:rsidRDefault="00967F61" w:rsidP="00E639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 w:rsidRPr="007844EF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SMLUVNÍ STRANY A VZNIK SMLUVNÍHO VZTAHU</w:t>
      </w:r>
    </w:p>
    <w:p w:rsidR="00402280" w:rsidRPr="007844EF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Všeobecné podmínky jsou součástí každé smlouvy o zájezdu, která upravuje vztah mezi </w:t>
      </w:r>
      <w:r w:rsidR="00402280" w:rsidRPr="007844EF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CA MOTOSARDINIE, Mgr. Jana Váňová, Za Kulturním domem 432, Nechanice 503 15, IČ: 73372706</w:t>
      </w:r>
      <w:r w:rsidR="007844EF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,</w:t>
      </w:r>
    </w:p>
    <w:p w:rsidR="00967F61" w:rsidRPr="007844EF" w:rsidRDefault="00402280" w:rsidP="00E6392A">
      <w:pPr>
        <w:pStyle w:val="Odstavecseseznamem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tel.: 731 195 490, </w:t>
      </w:r>
      <w:hyperlink r:id="rId8" w:history="1">
        <w:r w:rsidRPr="007844EF">
          <w:rPr>
            <w:rStyle w:val="Hypertextovodkaz"/>
            <w:rFonts w:ascii="Times New Roman" w:eastAsia="TimesNewRomanPS-BoldMT-Identity" w:hAnsi="Times New Roman" w:cs="Times New Roman"/>
            <w:bCs/>
            <w:sz w:val="20"/>
            <w:szCs w:val="20"/>
          </w:rPr>
          <w:t>motosardinie@gmail.com</w:t>
        </w:r>
      </w:hyperlink>
      <w:r w:rsidRPr="007844EF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, </w:t>
      </w:r>
      <w:hyperlink r:id="rId9" w:history="1">
        <w:r w:rsidRPr="007844EF">
          <w:rPr>
            <w:rStyle w:val="Hypertextovodkaz"/>
            <w:rFonts w:ascii="Times New Roman" w:eastAsia="TimesNewRomanPS-BoldMT-Identity" w:hAnsi="Times New Roman" w:cs="Times New Roman"/>
            <w:bCs/>
            <w:sz w:val="20"/>
            <w:szCs w:val="20"/>
          </w:rPr>
          <w:t>www.motosardinie.cz</w:t>
        </w:r>
      </w:hyperlink>
      <w:r w:rsidRPr="007844EF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 </w:t>
      </w:r>
      <w:r w:rsidR="00967F61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(dále jen "</w:t>
      </w:r>
      <w:r w:rsidRPr="007844EF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CA</w:t>
      </w:r>
      <w:r w:rsidR="00967F61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"), a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zákazníkem uvedeným ve smlouvě o zájezdu (dále jen "</w:t>
      </w:r>
      <w:proofErr w:type="spellStart"/>
      <w:r w:rsidR="00967F61" w:rsidRPr="007844EF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SoZ</w:t>
      </w:r>
      <w:proofErr w:type="spellEnd"/>
      <w:r w:rsidR="00967F61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"). </w:t>
      </w:r>
      <w:proofErr w:type="spellStart"/>
      <w:r w:rsidR="00967F61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="00967F61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včetně těchto Všeobecných podmínek se řídí ustanoveními § 2521 a </w:t>
      </w:r>
      <w:proofErr w:type="spellStart"/>
      <w:r w:rsidR="00967F61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násl</w:t>
      </w:r>
      <w:proofErr w:type="spellEnd"/>
      <w:r w:rsidR="00967F61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 zákona č.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89/2012 Sb., občanský zákoník, ve znění pozdějších předpisů (dále jen "</w:t>
      </w:r>
      <w:r w:rsidR="00967F61" w:rsidRPr="007844EF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OZ</w:t>
      </w:r>
      <w:r w:rsidR="00967F61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"), a ustanoveními zákona č. 159/1999 Sb., o cestovním ruchu, ve znění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pozdějších předpisů.</w:t>
      </w:r>
    </w:p>
    <w:p w:rsidR="00967F61" w:rsidRPr="006113B9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Smluvní</w:t>
      </w:r>
      <w:r w:rsidR="00402280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vztah mezi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a zákazníkem vzniká okamžikem oboustranného podpisu </w:t>
      </w:r>
      <w:proofErr w:type="spellStart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, jejím vzájemném předáním (poštou, osobně či e-</w:t>
      </w:r>
      <w:proofErr w:type="spellStart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mailovou</w:t>
      </w:r>
      <w:proofErr w:type="spellEnd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výměnou</w:t>
      </w:r>
      <w:r w:rsidR="00402280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pdf</w:t>
      </w:r>
      <w:proofErr w:type="spellEnd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kopie návrhu smlouvy s podpisem) a zaplacením zálohy. Platbu v Kč nebo EUR je možné provést v hotovosti, převodem na účet nebo poštovní</w:t>
      </w:r>
      <w:r w:rsidR="00402280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poukázkou. Za uhrazení se považuje okamžik, kdy je příslušná částka uhrazena k ruká</w:t>
      </w:r>
      <w:r w:rsidR="00402280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m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na její pokladně nebo připsána na bankovní úč</w:t>
      </w:r>
      <w:r w:rsidR="00402280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et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 Bez</w:t>
      </w:r>
      <w:r w:rsidR="00402280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zaplacení zálohy je </w:t>
      </w:r>
      <w:proofErr w:type="spellStart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považována za rezervaci s platností max. 7 dní.</w:t>
      </w:r>
    </w:p>
    <w:p w:rsidR="00402280" w:rsidRDefault="00402280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967F61" w:rsidRPr="006113B9" w:rsidRDefault="00967F61" w:rsidP="00E639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 w:rsidRPr="006113B9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ZÁJEZD</w:t>
      </w:r>
    </w:p>
    <w:p w:rsidR="007844EF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Předmětem </w:t>
      </w:r>
      <w:proofErr w:type="spellStart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je </w:t>
      </w:r>
      <w:proofErr w:type="spellStart"/>
      <w:r w:rsidR="00402280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mototour</w:t>
      </w:r>
      <w:proofErr w:type="spellEnd"/>
      <w:r w:rsidR="00402280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(dále jen „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zájezd</w:t>
      </w:r>
      <w:r w:rsidR="00402280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“)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vymezený ve </w:t>
      </w:r>
      <w:proofErr w:type="spellStart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názvem a termínem zahájení a ukončení zájezdu, a dále rozsahem služeb a dalšími podmínkami uvedenými na</w:t>
      </w:r>
      <w:r w:rsidR="00402280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hyperlink r:id="rId10" w:history="1">
        <w:r w:rsidR="00402280" w:rsidRPr="005D00E2">
          <w:rPr>
            <w:rStyle w:val="Hypertextovodkaz"/>
            <w:rFonts w:ascii="Times New Roman" w:eastAsia="TimesNewRomanPSMT-Identity-H" w:hAnsi="Times New Roman" w:cs="Times New Roman"/>
            <w:sz w:val="20"/>
            <w:szCs w:val="20"/>
          </w:rPr>
          <w:t>www.motosardinie.cz</w:t>
        </w:r>
      </w:hyperlink>
    </w:p>
    <w:p w:rsidR="007844EF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Informace o zájezdu, 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případně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doporučení pro účastníky (především požadavky na vybavení), budou 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up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řesněny v podrobných pokynech k zájezdu, které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CA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zašle zákazníkovi nejpozdě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ji 7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dní před odjezdem. V případě uzavření </w:t>
      </w:r>
      <w:proofErr w:type="spellStart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 době kratší než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7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dní před odjezdem zájezdu předá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CA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podrobné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pokyny zákazníkovi již při uzavření </w:t>
      </w:r>
      <w:proofErr w:type="spellStart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 Zákazník, který neobdrží podrobné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pokyny 7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dní před odjezdem zájezdu, o této skutečnosti vyrozumí CK. Jinak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má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CA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za to, že zákazník podrobné pokyny k zájezdu obdržel</w:t>
      </w:r>
      <w:r w:rsid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</w:t>
      </w:r>
    </w:p>
    <w:p w:rsidR="00967F61" w:rsidRPr="007844EF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 bere na vědomí, že první a poslední den programu jsou určeny především k dopravním přesunů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m. CA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neodpovídá za případné zpoždění letadla,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trajektu,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za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změny letového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či trajektového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řádu, technické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problémy, nepřízeň počasí apod., ani za škody vzniklé v důsledku zpoždění. Zákazník počítá s možností vzniku zpoždění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při plánování navazujících spojů a aktivit.</w:t>
      </w:r>
    </w:p>
    <w:p w:rsidR="00402280" w:rsidRDefault="00402280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967F61" w:rsidRPr="006113B9" w:rsidRDefault="00967F61" w:rsidP="00E639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 w:rsidRPr="006113B9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 PODMÍNKY ÚČASTI</w:t>
      </w:r>
    </w:p>
    <w:p w:rsidR="007844EF" w:rsidRDefault="00402280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CA</w:t>
      </w:r>
      <w:r w:rsidR="00967F61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poskytuje své služby všem svéprávným osobám starším 18 let.</w:t>
      </w:r>
    </w:p>
    <w:p w:rsidR="007844EF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Osoby mladší 18 let se mohou zájezdu zúčastnit pouze v doprovodu odpovědné osoby starší 18 let a s písemným souhlasem všech zákonných zástupců. Je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nutná konzultace s pracovní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kem CA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</w:t>
      </w:r>
    </w:p>
    <w:p w:rsidR="007844EF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Účastník (zákazník) je povinen mít platný cestovní doklad splňující požadavky navštívených států a v každém případě platný min. 7 měsíců po návratu ze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zahraničí.</w:t>
      </w:r>
    </w:p>
    <w:p w:rsidR="007844EF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 je povinen s dostatečným předstihem:</w:t>
      </w:r>
    </w:p>
    <w:p w:rsidR="007844EF" w:rsidRDefault="00967F61" w:rsidP="00E6392A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sdě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lit CA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číslo cestovního 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dokladu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, se kterým pojede na zájezd</w:t>
      </w:r>
    </w:p>
    <w:p w:rsidR="007844EF" w:rsidRDefault="00967F61" w:rsidP="00E6392A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sdě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lit CA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veškeré informace důležité pro posouzení vhodnosti účasti zákazníka na konkrétním zájezdu, zejména případná zdravotní omezení, přičemž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CA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je v případě zjištění těchto omezení oprávněna </w:t>
      </w:r>
      <w:proofErr w:type="spellStart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se zákazníkem odmítnout uzavřít nebo od </w:t>
      </w:r>
      <w:proofErr w:type="spellStart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bez jakýchkoli sankcí odstoupit</w:t>
      </w:r>
    </w:p>
    <w:p w:rsidR="007844EF" w:rsidRDefault="00967F61" w:rsidP="00E6392A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uzavřít pojištění léčebných výloh na dobu zájezdu</w:t>
      </w:r>
      <w:r w:rsidR="00402280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</w:t>
      </w:r>
    </w:p>
    <w:p w:rsidR="007844EF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Zákazník nese plnou odpovědnost za svoji zdravotní přípravu na zájezd (její nedodržení není důvodem k odstoupení od </w:t>
      </w:r>
      <w:proofErr w:type="spellStart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ze strany zákazníka). Účastník</w:t>
      </w:r>
      <w:r w:rsidR="007844EF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dále plně odpovídá za následky vzniklé neplatností jeho cestovních dokladů či nedodržením vízových, devizových a jiných právních předpisů platných v</w:t>
      </w:r>
      <w:r w:rsidR="007844EF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navštívené zemi.</w:t>
      </w:r>
    </w:p>
    <w:p w:rsidR="007844EF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 prohlašuje (ve vztahu ke všem jím přihlášeným účastníkům), že:</w:t>
      </w:r>
    </w:p>
    <w:p w:rsidR="007844EF" w:rsidRDefault="00967F61" w:rsidP="00E6392A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není si vědom žádných závažných onemocnění ani jiných omezení, která by mu bránila v řádné účasti na zájezdu, na který se přihlašuje</w:t>
      </w:r>
    </w:p>
    <w:p w:rsidR="007844EF" w:rsidRDefault="007844EF" w:rsidP="00E6392A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lastRenderedPageBreak/>
        <w:t>má platné řidičské oprávnění na typ motorového vozidla, na kterém se bude zájezdu účastnit</w:t>
      </w:r>
    </w:p>
    <w:p w:rsidR="00967F61" w:rsidRPr="007844EF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V případě účasti starší osoby si můž</w:t>
      </w:r>
      <w:r w:rsid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e CA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vyžádat potvrzení o zdravotní způsobilosti zákazníka a jeho prohlášení, že se zájezdu účastní na vlastní riziko a je</w:t>
      </w:r>
      <w:r w:rsidR="007844EF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si této skutečnosti vědom.</w:t>
      </w:r>
    </w:p>
    <w:p w:rsidR="007844EF" w:rsidRPr="007844EF" w:rsidRDefault="00967F61" w:rsidP="00E639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 CENA A CENOVÉ ZMĚNY</w:t>
      </w:r>
    </w:p>
    <w:p w:rsidR="007844EF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Cena zájezdu je smluvní cenou mezi zákazní</w:t>
      </w:r>
      <w:r w:rsidR="007844EF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kem a CA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a zahrnuje vždy konkrétní položky vyjmenované v popisu zá</w:t>
      </w:r>
      <w:r w:rsidR="007844EF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jezdu na </w:t>
      </w:r>
      <w:hyperlink r:id="rId11" w:history="1">
        <w:r w:rsidR="007844EF" w:rsidRPr="007844EF">
          <w:rPr>
            <w:rStyle w:val="Hypertextovodkaz"/>
            <w:rFonts w:ascii="Times New Roman" w:eastAsia="TimesNewRomanPSMT-Identity-H" w:hAnsi="Times New Roman" w:cs="Times New Roman"/>
            <w:sz w:val="20"/>
            <w:szCs w:val="20"/>
          </w:rPr>
          <w:t>www.motosardinie.cz</w:t>
        </w:r>
      </w:hyperlink>
      <w:r w:rsidR="007844EF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 („Cena zahrnuje“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). Cena je považována za zálohu až do doby realizace zá</w:t>
      </w:r>
      <w:r w:rsidR="007844EF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jezdu. </w:t>
      </w:r>
    </w:p>
    <w:p w:rsidR="007844EF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Zálohu na zájezd uvedenou ve </w:t>
      </w:r>
      <w:proofErr w:type="spellStart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je třeba uhradit do 7 dnů od vzájemného potvrzení </w:t>
      </w:r>
      <w:proofErr w:type="spellStart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- závazné přihlášky zákazní</w:t>
      </w:r>
      <w:r w:rsidR="007844EF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kem i CA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, doplatek pak nejpozději</w:t>
      </w:r>
      <w:r w:rsidR="007844EF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30 dnů před začátkem zájezdu. V případě, že záloha nebo doplatek do určeného termínu nejsou zaplaceny, může být místo nabídnuto náhradníkovi, popř.</w:t>
      </w:r>
      <w:r w:rsidR="007844EF"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7844E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účast zákazníka na zájezdu zrušena bez dalšího upozornění.</w:t>
      </w:r>
    </w:p>
    <w:p w:rsidR="00A5546E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Cena nezahrnuje nepovinné náklady, např. fakultativní výlety, vstupy do památkových objektů, stravování (pokud není uvedeno jinak), příplatek za</w:t>
      </w:r>
      <w:r w:rsidR="007844EF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jednolůžkový pokoj. </w:t>
      </w:r>
    </w:p>
    <w:p w:rsidR="00A5546E" w:rsidRDefault="00A5546E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CA</w:t>
      </w:r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má právo v souladu s ustanovením §2530 OZ zvýšit již přihlášeným zákazníkům do 21 dnů před odjezdem zájezdu původní cenu zájezdu v případě, že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dojde ke zvýšení ceny dopravy či směnného kursu české koruny v průměru o více než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10 % ke dni kalkulace cen (</w:t>
      </w:r>
      <w:proofErr w:type="gramStart"/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1.1.2017</w:t>
      </w:r>
      <w:proofErr w:type="gramEnd"/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). Cena zájezdu bude navýšena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o příslušný rozdíl mezi původně kalkulovanými náklady a takto zvýšenými náklady.</w:t>
      </w:r>
    </w:p>
    <w:p w:rsidR="00967F61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V případě zvýšení ceny zájezdu o více než 10 % může zákazník do 7 dnů po oznámení této skutečnosti zrušit svou účast na zájezdu bez stornovacích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poplatků. Pokud tak neučiní, je povinen doplatit rozdíl ceny. Zvýšení ceny o méně než 10 % není považováno za důvod k odstoupení od </w:t>
      </w:r>
      <w:proofErr w:type="spellStart"/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a v</w:t>
      </w:r>
      <w:r w:rsid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 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tomto</w:t>
      </w:r>
      <w:r w:rsid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případě pro odstoupení platí stornovací podmínky.</w:t>
      </w:r>
    </w:p>
    <w:p w:rsidR="00A5546E" w:rsidRPr="00A5546E" w:rsidRDefault="00A5546E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</w:p>
    <w:p w:rsidR="00A5546E" w:rsidRPr="00A5546E" w:rsidRDefault="00967F61" w:rsidP="00E639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A5546E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ZMĚNA PODMÍNEK POSKYTNUTÍ SLUŽ</w:t>
      </w:r>
      <w:r w:rsidR="00A5546E" w:rsidRPr="00A5546E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EB ZE STRANY CA</w:t>
      </w:r>
    </w:p>
    <w:p w:rsidR="00A5546E" w:rsidRDefault="00A5546E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CA</w:t>
      </w:r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je oprávněna ve vážných případech nebo z důvodu vyšší moci (např. stávky, demonstrace, vypuknutí nepokojů, ozbrojený konflikt, nebezpečí nebo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následky teroristického útoku, živelní pohroma, přírodní katastrofy, extrémní stav počasí nebo jiné závažné ohrožení bezpečnosti v cílovém místě zájezdu,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epidemie, změna vízových či jiných právních předpisů v cílové zemi, vážné zranění či smrt účastníka zájezdu nebo průvodce, významné dopravní omezení,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zdržení na hranicích nebo jiná důležitá okolnost) přesunout termín konání zájezdu, upravit program, trasu nebo způsob dopravy apod. bez nároku na vrácení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části ceny. V takových případech můž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e CA</w:t>
      </w:r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zajistit jen služby v souladu se svými možnostmi a zákazník nemá právo na poskytnutí slevy či odstoupení od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 Snahou CA</w:t>
      </w:r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je dodržovat program a cíle zájezdu. Má-li být v důsledku změny </w:t>
      </w:r>
      <w:proofErr w:type="spellStart"/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změněna i cena zá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jezdu, informuje CA </w:t>
      </w:r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zákazníka spolu se změnou i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o výši nové ceny.</w:t>
      </w:r>
    </w:p>
    <w:p w:rsidR="00A5546E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Změna pořadí navštívených míst či změna dne navštívení určitého místa se nepovažují za změnu programu zá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jezdu. CA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a zákazník se dohodli, že termíny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zájezdů mohou bý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t posunuty 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až o 1 den, a že celková délka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zájezdu provedená v souvislosti se změnou termínu může být změněna až o 2 dny; tyto změny se nepovažují za změnu SoZ.</w:t>
      </w:r>
    </w:p>
    <w:p w:rsidR="00967F61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Vedoucí zájezdu má během zájezdu právo na úpravy programu v závislosti na objektivních </w:t>
      </w:r>
      <w:proofErr w:type="spellStart"/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odmínkách</w:t>
      </w:r>
      <w:proofErr w:type="spellEnd"/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a především s ohledem na bezpečnost účastníků.</w:t>
      </w:r>
    </w:p>
    <w:p w:rsidR="00A5546E" w:rsidRPr="00A5546E" w:rsidRDefault="00A5546E" w:rsidP="00E6392A">
      <w:pPr>
        <w:pStyle w:val="Odstavecseseznamem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</w:p>
    <w:p w:rsidR="00A5546E" w:rsidRPr="00A5546E" w:rsidRDefault="00967F61" w:rsidP="00E639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A5546E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ZMĚNA SMLOUVY ZE STRANY ZÁKAZNÍKA</w:t>
      </w:r>
    </w:p>
    <w:p w:rsidR="00A5546E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Před odjezdem zájezdu může zákazník písemně ozná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mit CA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, že se zájezdu místo něho zúčastní jiná osoba, splňuje-li tato osoba podmínky účasti na zájezdu.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Dnem doručení tohoto oznámení se výše uvedená osoba stává zákazní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kem CA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 Oznámení je nutné provést písemně nejpozději 24 hodin před odjezdem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zájezdu a musí obsahovat prohlášení nového zákazníka, že souhlasí s uzavřenou </w:t>
      </w:r>
      <w:proofErr w:type="spellStart"/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 Původní a nový zákazník odpovídají společně a nerozdílně za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uhrazení ceny zájezdu, manipulačního poplatku za změnu účastníka zájezdu a případných dalších nákladů, které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CA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 souvislosti se změnou zákazníka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vzniknou (zejména poplatku za změ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nu jízdenky na trajekt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). V případě, že již byla pro zákazníka sjednána služba, kterou není možné na náhradníka převést (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např.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pojištění), uhradí zákazník tuto službu v plné výši a náhradník je povinen si tuto službu zajistit sám. Původní účastník odpovídá za informovanost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náhradníka a je povinen zabezpečit předání osobních údajů svého náhradníka v termínu potřebném pro vyřízení změny (především rezervace letenek 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jízdenek na trajekt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).</w:t>
      </w:r>
    </w:p>
    <w:p w:rsidR="00A5546E" w:rsidRPr="00A5546E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Pokud si zákazník na základě vlastní volby zajišťuje vybrané služby k zájezdu sám (zejména letenky), činí tak na vlastní odpověd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nost a CA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zákazníkovi</w:t>
      </w:r>
      <w:r w:rsidR="00A5546E"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A5546E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není povinna hradit vícenáklady ohledně takové zákazníkem zajištěné služby, které vzniknou zrušením zájezdu, změnou termínu zájezdu nebo úpravou</w:t>
      </w:r>
    </w:p>
    <w:p w:rsidR="00A5546E" w:rsidRPr="00A5546E" w:rsidRDefault="00A5546E" w:rsidP="00E6392A">
      <w:pPr>
        <w:pStyle w:val="Odstavecseseznamem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</w:p>
    <w:p w:rsidR="00967F61" w:rsidRPr="006113B9" w:rsidRDefault="00967F61" w:rsidP="00E639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 w:rsidRPr="006113B9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ODSTOUPENÍ</w:t>
      </w:r>
      <w:r w:rsidR="00A5546E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 OD SMLOUVY ZE STRANY CA</w:t>
      </w:r>
    </w:p>
    <w:p w:rsidR="00967F61" w:rsidRPr="006113B9" w:rsidRDefault="00FF27D7" w:rsidP="001A2BF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CA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si vyhrazuje právo zrušit zájezd nejpozději do 20 dnů před odjezdem, není-li dosažen minimální počet účastníků 5 osob (popř. jiný minimální počet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účastníků uvedený na </w:t>
      </w:r>
      <w:r w:rsidR="00967F61" w:rsidRPr="006113B9">
        <w:rPr>
          <w:rFonts w:ascii="Times New Roman" w:eastAsia="TimesNewRomanPSMT-Identity-H" w:hAnsi="Times New Roman" w:cs="Times New Roman"/>
          <w:color w:val="0000FF"/>
          <w:sz w:val="20"/>
          <w:szCs w:val="20"/>
        </w:rPr>
        <w:t>www.</w:t>
      </w:r>
      <w:r w:rsidR="00734BCB">
        <w:rPr>
          <w:rFonts w:ascii="Times New Roman" w:eastAsia="TimesNewRomanPSMT-Identity-H" w:hAnsi="Times New Roman" w:cs="Times New Roman"/>
          <w:color w:val="0000FF"/>
          <w:sz w:val="20"/>
          <w:szCs w:val="20"/>
        </w:rPr>
        <w:t>motosardinie.cz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). O zrušení zájezdu se však zákazník zpravidla dozví mnohem dříve.</w:t>
      </w:r>
    </w:p>
    <w:p w:rsidR="00967F61" w:rsidRPr="006113B9" w:rsidRDefault="00734BCB" w:rsidP="001A2BF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lastRenderedPageBreak/>
        <w:t>CA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má právo zájezd zrušit před jeho zahájením v důsledku objektivní neodvratitelné události. V případě zrušení zá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jezdu ze strany CA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vrací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CA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zákazníkovi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celou částku bez odečtení stornopoplatku. V případě, ž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e CA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zruší zájezd z důvodů uvedených v tomto článku, není toto důvodem, aby zákazník uplatnil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nárok na škodu.</w:t>
      </w:r>
    </w:p>
    <w:p w:rsidR="00967F61" w:rsidRPr="006113B9" w:rsidRDefault="00967F61" w:rsidP="001A2BF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 w:rsidRPr="006113B9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ODSTOUPENÍ OD SMLOUVY ZE STRANY ZÁKAZNÍKA</w:t>
      </w:r>
    </w:p>
    <w:p w:rsid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 má kdykoliv před započetím zájezdu právo odstoupit od smlouvy písemným oznámením cestovní kanceláři. Rozhodující je datum doručení dopisu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nebo emailu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do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</w:t>
      </w:r>
    </w:p>
    <w:p w:rsidR="00967F61" w:rsidRP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Zrušení smlouvy nastává dnem doručení oznámení o odstoupení. Při odstoupení zákazníka od smlouvy je zákazník povinen uhradit příslušný stornovací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poplatek. V případě vyšších prokazatelně vyložených nákladů, než je uvedeno níže, se stornovací poplatek rovná výši těchto prokazatelných nákladů, v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opačném případě je stornovací poplatek stanoven ze základní ceny zájezdu (nesnížené o slevy a bonusy) následovně:</w:t>
      </w:r>
    </w:p>
    <w:p w:rsidR="00967F61" w:rsidRPr="006113B9" w:rsidRDefault="00967F61" w:rsidP="001A2BF6">
      <w:pPr>
        <w:autoSpaceDE w:val="0"/>
        <w:autoSpaceDN w:val="0"/>
        <w:adjustRightInd w:val="0"/>
        <w:spacing w:after="0" w:line="240" w:lineRule="auto"/>
        <w:ind w:left="52" w:firstLine="708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- 500 Kč, dojde-li ke </w:t>
      </w:r>
      <w:proofErr w:type="spellStart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stornu</w:t>
      </w:r>
      <w:proofErr w:type="spellEnd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před 60. dnem před termínem odjezdu zájezdu</w:t>
      </w:r>
    </w:p>
    <w:p w:rsidR="00967F61" w:rsidRPr="006113B9" w:rsidRDefault="00967F61" w:rsidP="001A2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- 30 % ceny, dojde-li ke </w:t>
      </w:r>
      <w:proofErr w:type="spellStart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stornu</w:t>
      </w:r>
      <w:proofErr w:type="spellEnd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mezi 60. – 31. dnem před termínem odjezdu zájezdu</w:t>
      </w:r>
    </w:p>
    <w:p w:rsidR="00967F61" w:rsidRPr="006113B9" w:rsidRDefault="00967F61" w:rsidP="001A2B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- 50 % ceny, dojde-li ke </w:t>
      </w:r>
      <w:proofErr w:type="spellStart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stornu</w:t>
      </w:r>
      <w:proofErr w:type="spellEnd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mezi 30. – 15. dnem před termínem odjezdu zájezdu</w:t>
      </w:r>
    </w:p>
    <w:p w:rsidR="00967F61" w:rsidRPr="006113B9" w:rsidRDefault="00967F61" w:rsidP="001A2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- 80 % ceny, dojde-li ke </w:t>
      </w:r>
      <w:proofErr w:type="spellStart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stornu</w:t>
      </w:r>
      <w:proofErr w:type="spellEnd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mezi 14. – 8. dnem před termínem odjezdu zájezdu</w:t>
      </w:r>
    </w:p>
    <w:p w:rsidR="00967F61" w:rsidRPr="006113B9" w:rsidRDefault="00967F61" w:rsidP="001A2B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- 100 % ceny, dojde-li ke </w:t>
      </w:r>
      <w:proofErr w:type="spellStart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stornu</w:t>
      </w:r>
      <w:proofErr w:type="spellEnd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 průběhu 7 kalendářních dnů před termínem odjezdu zájezdu, pokud se zákazník nedostaví k odjezdu, přeruší-li účast na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zájezdu z vlastní vůle, má-li neúplné či neplatné cestovní doklady.</w:t>
      </w:r>
    </w:p>
    <w:p w:rsidR="00967F61" w:rsidRPr="006113B9" w:rsidRDefault="00967F61" w:rsidP="001A2B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Prokazatelně vyloženými náklady se rozumí provozní ná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klady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a smluvně sjednané nebo právním předpisem stanovené náhrady tuzemským a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zahraničním dodavatelům služeb.</w:t>
      </w:r>
    </w:p>
    <w:p w:rsidR="00967F61" w:rsidRPr="006113B9" w:rsidRDefault="00967F61" w:rsidP="001A2BF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Nezaplacení doplatku nenahrazuje písemné odstoupení od smlouvy.</w:t>
      </w:r>
    </w:p>
    <w:p w:rsidR="00967F61" w:rsidRPr="006113B9" w:rsidRDefault="00967F61" w:rsidP="001A2BF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</w:pPr>
      <w:r w:rsidRPr="006113B9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ODPOVĚDNOST CESTOVNÍ </w:t>
      </w:r>
      <w:r w:rsidR="00734BCB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AGENTURY</w:t>
      </w:r>
      <w:r w:rsidRPr="006113B9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 xml:space="preserve"> A REKLAMACE</w:t>
      </w:r>
    </w:p>
    <w:p w:rsidR="00967F61" w:rsidRPr="006113B9" w:rsidRDefault="00734BCB" w:rsidP="001A2BF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A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je povinna poskytnout zákazníkovi služby, které jsou součástí zájezdu, řádně a včas v souladu s </w:t>
      </w:r>
      <w:r w:rsid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u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zavřenou </w:t>
      </w:r>
      <w:proofErr w:type="spellStart"/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a obecně závaznými právními předpisy.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Neplní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-li CA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 průběhu zájezdu své povinnosti vyplývající ze </w:t>
      </w:r>
      <w:proofErr w:type="spellStart"/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, je zákazník povinen neprodleně žádat nápravu přímo u hlavního průvodce zájezdu.</w:t>
      </w:r>
    </w:p>
    <w:p w:rsidR="00967F61" w:rsidRPr="006113B9" w:rsidRDefault="00967F61" w:rsidP="001A2B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Není-li možné sjednat nápravu ihned, sepíše průvodce s účastníkem záznam obsahující: osobní údaje účastníka, předmět reklamace a případný požadavek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na její vyřízení a záznam stvrdí podpisem. V případě, že reklamace není uplatněna přímo na místě, je zákazní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k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povinen uplatnit ji písemně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u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bez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zbytečného odkladu, nejpozději však 30 dnů od skončení zájezdu (či v případě, že se zájezd neuskutečnil, ode dne, kdy měl být zájezd ukončen podle </w:t>
      </w:r>
      <w:proofErr w:type="spellStart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),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jinak právo na reklamaci zaniká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má povinnost reklamaci prozkoumat a písemně se vyjádřit do 30 dnů od přijetí.</w:t>
      </w:r>
    </w:p>
    <w:p w:rsidR="00967F61" w:rsidRPr="006113B9" w:rsidRDefault="00734BCB" w:rsidP="001A2BF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CA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neodpovídá za služby objednané dodatečně přímo na místě u průvodce, hotelu či jiné organizace. Za předmět reklamace se nepovažují škody vzniklé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zákazníkovi, které jsou kryty cestovním pojištěním na základě pojistné smlouvy. Zákazník své nároky musí uplatňovat přímo u pojišťovny. Odpovědnost za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průběh letu a za odbavená zavazadla nese letecká společnost (včetně odpovědnosti z důvodu zpoždění, poškození či ztráty zavazadla). Je třeba se ihned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obrátit na přepážku reklamací zavazadel a vyplnit reklamační protokol (PIR = </w:t>
      </w:r>
      <w:proofErr w:type="spellStart"/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Property</w:t>
      </w:r>
      <w:proofErr w:type="spellEnd"/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Irregularity</w:t>
      </w:r>
      <w:proofErr w:type="spellEnd"/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Report). Na pozdější reklamace nelze brát zř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etel. CA 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nenese odpovědnost za poškození, zpoždění či ztrátu odbavených zavazadel.</w:t>
      </w:r>
    </w:p>
    <w:p w:rsidR="00967F61" w:rsidRPr="006113B9" w:rsidRDefault="00967F61" w:rsidP="001A2BF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Pokud zákazník nemůže využít již zaplacených a objednaných služeb, nevzniká mu právo na slevu č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i z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pětnou úhradu nevyužitých služeb.</w:t>
      </w:r>
    </w:p>
    <w:p w:rsidR="001A2BF6" w:rsidRDefault="00734BCB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CA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se může odpovědnosti za škodu způsobenou jejím odstoupením od </w:t>
      </w:r>
      <w:proofErr w:type="spellStart"/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před zahájením zájezdu zprostit tehdy, došlo-li ke zrušení zájezdu z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 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důvodu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nízkého počtu účastníků (viz čl. 7.1) nebo v důsledku neodvratitelné události (viz čl. 7.2). Při zrušení zájezdu v jeho průběhu nebo před jeho zahájením z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důvodu neodvratitelné události vrací</w:t>
      </w:r>
      <w:r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CA</w:t>
      </w:r>
      <w:r w:rsidR="00967F61"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zákazníkovi částku za nerealizované výdaje.</w:t>
      </w:r>
    </w:p>
    <w:p w:rsid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Při porušení </w:t>
      </w:r>
      <w:proofErr w:type="spellStart"/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 průběhu zájezdu se můž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e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odpovědnosti za škodu zprostit, prokáže-li, že byla škoda způsobena zákazníkem, třetí osobou, která není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spojena s poskytováním zájezdu nebo neodvratitelnou událostí mající povahu vyšší moci (viz čl. 5.1). Výlohy účastníků zájezdu vzniklé v těchto případech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nehradí</w:t>
      </w:r>
      <w:r w:rsid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</w:t>
      </w:r>
    </w:p>
    <w:p w:rsidR="001A2BF6" w:rsidRDefault="00734BCB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CA</w:t>
      </w:r>
      <w:r w:rsidR="00967F61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vynakládá řádnou péči při výběru důvěryhodných lokálních subdodavatelů v zemích konání zájezdu (např. lokální přeprava, ubytování, průvodci atd.),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nemůže však vždy předem garantovat standardy poskytovaných služeb (viz též čl. 13 Lokální specifika níž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e). CA</w:t>
      </w:r>
      <w:r w:rsidR="00967F61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neodpovídá za škody vzniklé zákazníkovi</w:t>
      </w:r>
      <w:r w:rsidR="001A2BF6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při čerpání služeb od lokálních subdodavatelů, který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m CA</w:t>
      </w:r>
      <w:r w:rsidR="00967F61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ani při vynaložení řádné péče nemohla zabránit (např. dopravní nehoda apod.).</w:t>
      </w:r>
    </w:p>
    <w:p w:rsid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V případě, že se účastník zájezdu dostane do nesnází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,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mu poskytne neprodleně pomoc v nezbytně nutném rozsahu tak, aby zároveň nebyl narušen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program zájezdu s tím, že náklady vynaložené na tuto pomoc bude zákazník povinen uhradit.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</w:p>
    <w:p w:rsidR="001A2BF6" w:rsidRDefault="00734BCB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CA</w:t>
      </w:r>
      <w:r w:rsidR="00967F61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neodpovídá za škody na majetku účastníků zájezdu v případě jeho poškození, ztráty či krádež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e</w:t>
      </w:r>
      <w:r w:rsidR="00C40125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, ledaže k tomuto došlo během přepravy motocyklů a zavazadel na Sardinii a zpět. </w:t>
      </w:r>
      <w:r w:rsidR="006D1E0F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Na takové případy</w:t>
      </w:r>
      <w:r w:rsidR="00C40125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je </w:t>
      </w:r>
      <w:r w:rsidR="00C40125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lastRenderedPageBreak/>
        <w:t>CA pojištěna.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CA</w:t>
      </w:r>
      <w:proofErr w:type="spellEnd"/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neposkytuje náhradu plynoucí z časového prodlení</w:t>
      </w:r>
      <w:r w:rsid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="00967F61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během zájezdu ani za objednané služby, které nebyly vlivem okolností vzniklých na straně zákazníka využ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ity. </w:t>
      </w:r>
    </w:p>
    <w:p w:rsid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V případě sporu mezi zákazní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kem a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, který se nepodaří urovnat vzájemným jednáním, má zákazník možnosti požádat o mimosoudní vyřešení sporu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Českou obchodní inspekci (podrobnosti viz </w:t>
      </w:r>
      <w:hyperlink r:id="rId12" w:history="1">
        <w:r w:rsidR="001A2BF6" w:rsidRPr="005D00E2">
          <w:rPr>
            <w:rStyle w:val="Hypertextovodkaz"/>
            <w:rFonts w:ascii="Times New Roman" w:eastAsia="TimesNewRomanPSMT-Identity-H" w:hAnsi="Times New Roman" w:cs="Times New Roman"/>
            <w:sz w:val="20"/>
            <w:szCs w:val="20"/>
          </w:rPr>
          <w:t>http://www.coi.cz/cz/spotrebitel/prava-spotrebitelu/mimosoudni-reseni-spotrebitelskych-sporu-adr/</w:t>
        </w:r>
      </w:hyperlink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).</w:t>
      </w:r>
    </w:p>
    <w:p w:rsidR="001A2BF6" w:rsidRPr="001A2BF6" w:rsidRDefault="00967F61" w:rsidP="00E639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POVINNOSTI ZÁKAZNÍKA</w:t>
      </w:r>
    </w:p>
    <w:p w:rsidR="00967F61" w:rsidRPr="001A2BF6" w:rsidRDefault="00967F61" w:rsidP="001A2BF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 je povinen (ve vztahu k sobě i ke všem jím přihlášeným účastníkům):</w:t>
      </w:r>
    </w:p>
    <w:p w:rsidR="00967F61" w:rsidRPr="006113B9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- dodržovat právní předpisy, kulturní pravidla a zvyklosti navštívených států;</w:t>
      </w:r>
    </w:p>
    <w:p w:rsidR="00967F61" w:rsidRPr="006113B9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- dodržet místo nástupu, které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sdělil;</w:t>
      </w:r>
    </w:p>
    <w:p w:rsidR="00967F61" w:rsidRPr="006113B9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- řádně používat veškeré poskytnuté bezpečnostní vybavení;</w:t>
      </w:r>
    </w:p>
    <w:p w:rsidR="00967F61" w:rsidRPr="006113B9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- dbát pokynů vedoucího zájezdu a sportovních instruktorů a dodržovat stanovený program, ledaže si s vedoucím zájezdu odsouhlasí individuální program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za podmínek čl. 10.2 níže;</w:t>
      </w:r>
    </w:p>
    <w:p w:rsidR="001A2BF6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-jednat tak, aby nepoškozoval a negativně neovlivňoval přírodu a okolní prostředí a ostatní účastníky</w:t>
      </w:r>
    </w:p>
    <w:p w:rsid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V případě, že účastník zájezdu nemá zájem účastnit se během části zájezdu společného programu a zvažuje vlastní individuálního programu, je povinen o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tom předem informovat vedoucího zájezdu, včetně nezbytných detailů individuálního programu (plánovaná trasa atd.). Účastník zájezdu realizuje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individuální program na vlastní nebezpečí a v případě neočekávaných problémů nemůže spolé</w:t>
      </w:r>
      <w:r w:rsidR="00734BCB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hat na pomoc od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. </w:t>
      </w:r>
    </w:p>
    <w:p w:rsid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Průvodce má právo vyloučit účastníka zájezdu ze sportovního programu nebo mu zakázat plánovanou trasu v případě, že účastník je pod vlivem alkoholu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nebo omamných prostředků nebo pokud jeho vybavení či momentální fyzický stav neodpovídají náročnosti programu. V krajním případě může průvodce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vyloučit ze zájezdu bez náhrady účastníka, který hrubě ruší jeho průběh nebo ostatní účastníky. Toto přiměřeně platí i pro případy porušování ubytovacího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řádu v ubytovacích zařízeních včetně kempů. V těchto případech se neúčast na programu nepovažuje za porušení</w:t>
      </w:r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="00734BCB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ze strany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</w:t>
      </w:r>
    </w:p>
    <w:p w:rsid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 nese plnou odpovědnost za svoji sportovní a zdravotní přípravu, a jeho fyzická zdatnost, zkušenosti a vybavení odpovídají náročnosti zájezdu; nedodržení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těchto podmínek na straně zákazníka není důvodem k jeho odstoupení od </w:t>
      </w:r>
      <w:proofErr w:type="spellStart"/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 Zákazník se zúčastňuje sportovních aktivit během zájezdu s vědomím toho,</w:t>
      </w:r>
      <w:r w:rsidR="001A2BF6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že některé takové aktivity mohou být i při vynaložení veškeré odborné péče rizikové. Uvedená rizika, 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v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yplývající z podstaty provozovaných sportovních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aktivit, zákazník podstupuje na vlastní nebezpečí a 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o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dpovědnost.</w:t>
      </w:r>
    </w:p>
    <w:p w:rsid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Účastník nese plnou odpovědnost za očkování. Případné informace o očkování, uvedené v materiá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lech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, jsou pouze informační, účastník je povinen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ověřit si jejich správnost a aktuálnost.</w:t>
      </w:r>
    </w:p>
    <w:p w:rsid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 je povinen neprodleně, nejpozději však do 15 dnů po skončení zá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jezdu, nahradit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veškeré částky a výdaje, které za ně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j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během zájezdu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uhradí na rámec povinností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plynoucích ze </w:t>
      </w:r>
      <w:proofErr w:type="spellStart"/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(např. úhrady za změnu letenky či za fakultativní či individuální program, zápůjčka peněžní hotovosti od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vedoucího zájezdu v případě okradení či ztráty peněz na straně zákazníka apod.). Každá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takto ze strany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za zákazníka vynaložená částka bude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zdokumentována písemným potvrzením mezi zákazníkem a vedoucím zájezdu na formuláři </w:t>
      </w:r>
      <w:r w:rsidR="001A2BF6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</w:t>
      </w:r>
    </w:p>
    <w:p w:rsidR="001A2BF6" w:rsidRPr="001A2BF6" w:rsidRDefault="00967F61" w:rsidP="00E639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OCHRANA OSOBNÍCH ÚDAJŮ A REGULATORNÍ SOUHLAS</w:t>
      </w:r>
    </w:p>
    <w:p w:rsid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 souhlasí s použitím jeho osobních údajů (v souladu se zákonem č. 101/2000 Sb., o ochraně osobních údajů, ve znění pozdějších předpisů)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uvedených ve </w:t>
      </w:r>
      <w:proofErr w:type="spellStart"/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pro potř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eby CA MOTOSADRINIE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, a to výhradně za účelem pořádání zájezdu, zasílání nabídek služeb v cestovním ruchu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zákazníkovi a pro potřeby pojišťovny poskytující zdravotní pojištění. Dále prohlašuje, že je zmocněn a tímto uděluje souhlas ve smyslu § 5 odst. 2 zák.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č.101/2000 Sb. i jménem dalších jím přihlášených účastníků zájezdu uvedených ve </w:t>
      </w:r>
      <w:proofErr w:type="spellStart"/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SoZ</w:t>
      </w:r>
      <w:proofErr w:type="spellEnd"/>
      <w:r w:rsid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.</w:t>
      </w:r>
    </w:p>
    <w:p w:rsid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 souhlasí (ve vztahu k sobě i jím přihlášeným účastníkům) se zasíláním obchodních sdělení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a informací k zájezdům elektronickými prostředky.</w:t>
      </w:r>
    </w:p>
    <w:p w:rsidR="001A2BF6" w:rsidRDefault="00967F61" w:rsidP="00E6392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 bere na vědomí a souhlasí (ve vztahu k sobě i jím přihlášeným účastníkům) s tím, ž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e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je v průběhu zájezdu pořizovat obrazové i zvukové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záznamy účastníků</w:t>
      </w:r>
      <w:r w:rsidR="00E6392A"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; CA</w:t>
      </w:r>
      <w:r w:rsidRP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je oprávněna takto pořízené záznamy v nezbytné míře upravovat a zveřejňovat je ve svých propagačních materiálech.</w:t>
      </w:r>
    </w:p>
    <w:p w:rsidR="00967F61" w:rsidRPr="001A2BF6" w:rsidRDefault="00967F61" w:rsidP="001A2BF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1A2BF6">
        <w:rPr>
          <w:rFonts w:ascii="Times New Roman" w:eastAsia="TimesNewRomanPS-BoldMT-Identity" w:hAnsi="Times New Roman" w:cs="Times New Roman"/>
          <w:bCs/>
          <w:color w:val="000000"/>
          <w:sz w:val="20"/>
          <w:szCs w:val="20"/>
        </w:rPr>
        <w:t>ZÁVĚREČNÁ USTANOVENÍ</w:t>
      </w:r>
    </w:p>
    <w:p w:rsidR="00967F61" w:rsidRPr="006113B9" w:rsidRDefault="00967F61" w:rsidP="001A2B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Tyto všeobecné podmínky platí pro všechny zájezdy zveřejněné </w:t>
      </w:r>
      <w:r w:rsidR="00E6392A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na </w:t>
      </w:r>
      <w:hyperlink r:id="rId13" w:history="1">
        <w:r w:rsidR="00E6392A" w:rsidRPr="005D00E2">
          <w:rPr>
            <w:rStyle w:val="Hypertextovodkaz"/>
            <w:rFonts w:ascii="Times New Roman" w:eastAsia="TimesNewRomanPSMT-Identity-H" w:hAnsi="Times New Roman" w:cs="Times New Roman"/>
            <w:sz w:val="20"/>
            <w:szCs w:val="20"/>
          </w:rPr>
          <w:t>www.motosardinie.cz</w:t>
        </w:r>
      </w:hyperlink>
      <w:r w:rsidR="00E6392A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.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V případě potřeby</w:t>
      </w:r>
      <w:r w:rsid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můž</w:t>
      </w:r>
      <w:r w:rsidR="00E6392A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e CA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aktualizovat tyto všeobecné podmínky zveřejněním na </w:t>
      </w:r>
      <w:hyperlink r:id="rId14" w:history="1">
        <w:r w:rsidR="00E6392A" w:rsidRPr="005D00E2">
          <w:rPr>
            <w:rStyle w:val="Hypertextovodkaz"/>
            <w:rFonts w:ascii="Times New Roman" w:eastAsia="TimesNewRomanPSMT-Identity-H" w:hAnsi="Times New Roman" w:cs="Times New Roman"/>
            <w:sz w:val="20"/>
            <w:szCs w:val="20"/>
          </w:rPr>
          <w:t>www.motosardinie.cz</w:t>
        </w:r>
      </w:hyperlink>
      <w:r w:rsidR="00E6392A">
        <w:rPr>
          <w:rFonts w:ascii="Times New Roman" w:eastAsia="TimesNewRomanPSMT-Identity-H" w:hAnsi="Times New Roman" w:cs="Times New Roman"/>
          <w:color w:val="0000FF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, a tyto aktualizované podmínky budou platit pro všechny, kteří uzavřou</w:t>
      </w:r>
      <w:r w:rsidR="00E6392A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smlouvu o zájezdu po datu zveřejnění.</w:t>
      </w:r>
    </w:p>
    <w:p w:rsidR="00E6392A" w:rsidRDefault="00E6392A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</w:p>
    <w:p w:rsidR="00967F61" w:rsidRPr="006113B9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Zákazník potvrzuje, že se seznámil se všemi ustanoveními smlouvy o zájezdu a těchto Všeobecných podmínek, a souhlasí s nimi.</w:t>
      </w:r>
    </w:p>
    <w:p w:rsidR="00992431" w:rsidRDefault="0099243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</w:p>
    <w:p w:rsidR="00992431" w:rsidRDefault="0099243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</w:p>
    <w:p w:rsidR="00992431" w:rsidRDefault="0099243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</w:p>
    <w:p w:rsidR="00E6392A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lastRenderedPageBreak/>
        <w:t xml:space="preserve">Datum </w:t>
      </w:r>
      <w:proofErr w:type="gramStart"/>
      <w:r w:rsidR="00E6392A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1.1.2017</w:t>
      </w:r>
      <w:proofErr w:type="gramEnd"/>
      <w:r w:rsidR="00E6392A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 </w:t>
      </w:r>
    </w:p>
    <w:p w:rsidR="00967F61" w:rsidRPr="006113B9" w:rsidRDefault="00967F61" w:rsidP="00E6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Jméno a příjmení a podpis zástupce </w:t>
      </w:r>
      <w:r w:rsidR="001A2BF6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CA</w:t>
      </w:r>
      <w:r w:rsidR="00E6392A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: Mgr. Jana Váňová</w:t>
      </w:r>
    </w:p>
    <w:p w:rsidR="00E6392A" w:rsidRDefault="00E6392A" w:rsidP="00E6392A">
      <w:pPr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</w:p>
    <w:p w:rsidR="00E6392A" w:rsidRDefault="00967F61" w:rsidP="00E343AE">
      <w:pPr>
        <w:shd w:val="clear" w:color="auto" w:fill="FFFF00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 xml:space="preserve">Datum ___________ </w:t>
      </w:r>
    </w:p>
    <w:p w:rsidR="009B1CD3" w:rsidRPr="00E6392A" w:rsidRDefault="00967F61" w:rsidP="00E343AE">
      <w:pPr>
        <w:shd w:val="clear" w:color="auto" w:fill="FFFF00"/>
        <w:jc w:val="both"/>
        <w:rPr>
          <w:rFonts w:ascii="Times New Roman" w:eastAsia="TimesNewRomanPSMT-Identity-H" w:hAnsi="Times New Roman" w:cs="Times New Roman"/>
          <w:color w:val="000000"/>
          <w:sz w:val="20"/>
          <w:szCs w:val="20"/>
        </w:rPr>
      </w:pPr>
      <w:r w:rsidRPr="006113B9">
        <w:rPr>
          <w:rFonts w:ascii="Times New Roman" w:eastAsia="TimesNewRomanPSMT-Identity-H" w:hAnsi="Times New Roman" w:cs="Times New Roman"/>
          <w:color w:val="000000"/>
          <w:sz w:val="20"/>
          <w:szCs w:val="20"/>
        </w:rPr>
        <w:t>Jméno a příjmení a podpis zákazníka_________________________</w:t>
      </w:r>
      <w:r w:rsidRPr="006113B9">
        <w:rPr>
          <w:rFonts w:ascii="Times New Roman" w:eastAsia="TimesNewRomanPS-BoldMT-Identity" w:hAnsi="Times New Roman" w:cs="Times New Roman"/>
          <w:color w:val="000000"/>
          <w:sz w:val="20"/>
          <w:szCs w:val="20"/>
        </w:rPr>
        <w:t>__</w:t>
      </w:r>
    </w:p>
    <w:sectPr w:rsidR="009B1CD3" w:rsidRPr="00E6392A" w:rsidSect="009B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-Identity">
    <w:altName w:val="Arial Unicode MS"/>
    <w:panose1 w:val="00000000000000000000"/>
    <w:charset w:val="80"/>
    <w:family w:val="auto"/>
    <w:notTrueType/>
    <w:pitch w:val="default"/>
    <w:sig w:usb0="00000000" w:usb1="09070000" w:usb2="00000010" w:usb3="00000000" w:csb0="000A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4D8"/>
    <w:multiLevelType w:val="hybridMultilevel"/>
    <w:tmpl w:val="9092A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314E"/>
    <w:multiLevelType w:val="multilevel"/>
    <w:tmpl w:val="DFBCE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eastAsia="TimesNewRomanPSMT-Identity-H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NewRomanPSMT-Identity-H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NewRomanPSMT-Identity-H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NewRomanPSMT-Identity-H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NewRomanPSMT-Identity-H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NewRomanPSMT-Identity-H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NewRomanPSMT-Identity-H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NewRomanPSMT-Identity-H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F61"/>
    <w:rsid w:val="001A2BF6"/>
    <w:rsid w:val="00402280"/>
    <w:rsid w:val="004F7414"/>
    <w:rsid w:val="005D1FCB"/>
    <w:rsid w:val="006113B9"/>
    <w:rsid w:val="006617A4"/>
    <w:rsid w:val="006D1E0F"/>
    <w:rsid w:val="00734BCB"/>
    <w:rsid w:val="007844EF"/>
    <w:rsid w:val="00871933"/>
    <w:rsid w:val="00967F61"/>
    <w:rsid w:val="00992431"/>
    <w:rsid w:val="009B1CD3"/>
    <w:rsid w:val="00A5546E"/>
    <w:rsid w:val="00C40125"/>
    <w:rsid w:val="00E343AE"/>
    <w:rsid w:val="00E41B63"/>
    <w:rsid w:val="00E6392A"/>
    <w:rsid w:val="00F63C32"/>
    <w:rsid w:val="00FE5A92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13B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F7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4F7414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72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sardinie@gmail.com" TargetMode="External"/><Relationship Id="rId13" Type="http://schemas.openxmlformats.org/officeDocument/2006/relationships/hyperlink" Target="http://www.motosardin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tosardinie.cz" TargetMode="External"/><Relationship Id="rId12" Type="http://schemas.openxmlformats.org/officeDocument/2006/relationships/hyperlink" Target="http://www.coi.cz/cz/spotrebitel/prava-spotrebitelu/mimosoudni-reseni-spotrebitelskych-sporu-ad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tosardinie.cz" TargetMode="External"/><Relationship Id="rId11" Type="http://schemas.openxmlformats.org/officeDocument/2006/relationships/hyperlink" Target="http://www.motosardinie.cz" TargetMode="External"/><Relationship Id="rId5" Type="http://schemas.openxmlformats.org/officeDocument/2006/relationships/hyperlink" Target="mailto:motosardinie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tosardi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sardinie.cz" TargetMode="External"/><Relationship Id="rId14" Type="http://schemas.openxmlformats.org/officeDocument/2006/relationships/hyperlink" Target="http://www.motosardini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3006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cp:lastPrinted>2017-03-06T16:25:00Z</cp:lastPrinted>
  <dcterms:created xsi:type="dcterms:W3CDTF">2017-03-07T21:39:00Z</dcterms:created>
  <dcterms:modified xsi:type="dcterms:W3CDTF">2017-03-07T21:57:00Z</dcterms:modified>
</cp:coreProperties>
</file>